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030" w:type="dxa"/>
        <w:tblInd w:w="-176" w:type="dxa"/>
        <w:tblLook w:val="0000"/>
      </w:tblPr>
      <w:tblGrid>
        <w:gridCol w:w="4064"/>
        <w:gridCol w:w="2160"/>
        <w:gridCol w:w="3806"/>
      </w:tblGrid>
      <w:tr w:rsidR="0088274E" w:rsidRPr="00D77DF9" w:rsidTr="002F0728">
        <w:trPr>
          <w:trHeight w:val="719"/>
        </w:trPr>
        <w:tc>
          <w:tcPr>
            <w:tcW w:w="4064" w:type="dxa"/>
          </w:tcPr>
          <w:p w:rsidR="0088274E" w:rsidRPr="00D77DF9" w:rsidRDefault="00B0613E" w:rsidP="002F0728">
            <w:pPr>
              <w:pStyle w:val="a3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4.45pt;margin-top:-12.55pt;width:197.7pt;height:138.05pt;z-index:251661312;mso-width-relative:margin;mso-height-relative:margin" stroked="f">
                  <v:textbox style="mso-next-textbox:#_x0000_s1031">
                    <w:txbxContent>
                      <w:p w:rsidR="0088274E" w:rsidRDefault="0088274E" w:rsidP="0088274E"/>
                      <w:tbl>
                        <w:tblPr>
                          <w:tblW w:w="10030" w:type="dxa"/>
                          <w:tblInd w:w="-176" w:type="dxa"/>
                          <w:tblLook w:val="0000"/>
                        </w:tblPr>
                        <w:tblGrid>
                          <w:gridCol w:w="10030"/>
                        </w:tblGrid>
                        <w:tr w:rsidR="0088274E" w:rsidRPr="00D77DF9" w:rsidTr="0084590F">
                          <w:trPr>
                            <w:trHeight w:val="719"/>
                          </w:trPr>
                          <w:tc>
                            <w:tcPr>
                              <w:tcW w:w="4064" w:type="dxa"/>
                            </w:tcPr>
                            <w:p w:rsidR="0088274E" w:rsidRPr="00023F1B" w:rsidRDefault="0088274E" w:rsidP="002F2DAB">
                              <w:pPr>
                                <w:pStyle w:val="a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23F1B">
                                <w:rPr>
                                  <w:sz w:val="24"/>
                                  <w:szCs w:val="24"/>
                                </w:rPr>
                                <w:t xml:space="preserve">ΠΑΝΕΛΛΗΝΙΑ ΕΝΩΣΗ </w:t>
                              </w:r>
                            </w:p>
                            <w:p w:rsidR="0088274E" w:rsidRPr="00023F1B" w:rsidRDefault="0088274E" w:rsidP="002F2DAB">
                              <w:r w:rsidRPr="00023F1B">
                                <w:t>ΕΙΔΙΚΩΝ ΠΑΙΔΑΓΩΓΩΝ - «Π.Ε.Ε.Π.»</w:t>
                              </w:r>
                            </w:p>
                            <w:p w:rsidR="0088274E" w:rsidRPr="00023F1B" w:rsidRDefault="0088274E" w:rsidP="002F2DAB">
                              <w:pPr>
                                <w:spacing w:before="60"/>
                              </w:pPr>
                              <w:r w:rsidRPr="00023F1B">
                                <w:t>Καβείρων 3, 54 352 – Θεσσαλονίκη</w:t>
                              </w:r>
                            </w:p>
                            <w:p w:rsidR="0088274E" w:rsidRPr="00023F1B" w:rsidRDefault="0088274E" w:rsidP="002F2DAB">
                              <w:r w:rsidRPr="00023F1B">
                                <w:t>Τηλέφωνα:  6944-631467 &amp; 6978-04233</w:t>
                              </w:r>
                              <w:r w:rsidR="00230A5F">
                                <w:t>7</w:t>
                              </w:r>
                              <w:r w:rsidRPr="00023F1B">
                                <w:t xml:space="preserve"> </w:t>
                              </w:r>
                            </w:p>
                            <w:p w:rsidR="0088274E" w:rsidRPr="00023F1B" w:rsidRDefault="0088274E" w:rsidP="002F2DAB">
                              <w:r w:rsidRPr="00023F1B">
                                <w:rPr>
                                  <w:lang w:val="fr-FR"/>
                                </w:rPr>
                                <w:t>E</w:t>
                              </w:r>
                              <w:r w:rsidRPr="00023F1B">
                                <w:t>-</w:t>
                              </w:r>
                              <w:r w:rsidRPr="00023F1B">
                                <w:rPr>
                                  <w:lang w:val="fr-FR"/>
                                </w:rPr>
                                <w:t>mail</w:t>
                              </w:r>
                              <w:proofErr w:type="gramStart"/>
                              <w:r w:rsidRPr="00023F1B">
                                <w:t xml:space="preserve">:  </w:t>
                              </w:r>
                              <w:proofErr w:type="gramEnd"/>
                              <w:hyperlink r:id="rId5" w:history="1">
                                <w:r w:rsidRPr="00023F1B">
                                  <w:rPr>
                                    <w:rStyle w:val="-"/>
                                    <w:u w:val="none"/>
                                    <w:lang w:val="fr-FR"/>
                                  </w:rPr>
                                  <w:t>unionpeep</w:t>
                                </w:r>
                                <w:r w:rsidRPr="00023F1B">
                                  <w:rPr>
                                    <w:rStyle w:val="-"/>
                                    <w:u w:val="none"/>
                                  </w:rPr>
                                  <w:t>@</w:t>
                                </w:r>
                                <w:r w:rsidRPr="00023F1B">
                                  <w:rPr>
                                    <w:rStyle w:val="-"/>
                                    <w:u w:val="none"/>
                                    <w:lang w:val="en-US"/>
                                  </w:rPr>
                                  <w:t>gmail</w:t>
                                </w:r>
                                <w:r w:rsidRPr="00023F1B">
                                  <w:rPr>
                                    <w:rStyle w:val="-"/>
                                    <w:u w:val="none"/>
                                  </w:rPr>
                                  <w:t>.</w:t>
                                </w:r>
                                <w:r w:rsidRPr="00023F1B">
                                  <w:rPr>
                                    <w:rStyle w:val="-"/>
                                    <w:u w:val="none"/>
                                    <w:lang w:val="en-US"/>
                                  </w:rPr>
                                  <w:t>com</w:t>
                                </w:r>
                              </w:hyperlink>
                            </w:p>
                            <w:p w:rsidR="0088274E" w:rsidRPr="005476AC" w:rsidRDefault="0088274E" w:rsidP="002F2DA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23F1B">
                                <w:rPr>
                                  <w:lang w:val="en-US"/>
                                </w:rPr>
                                <w:t>Website</w:t>
                              </w:r>
                              <w:r w:rsidRPr="005476AC">
                                <w:t xml:space="preserve">: </w:t>
                              </w:r>
                              <w:hyperlink r:id="rId6" w:history="1">
                                <w:r w:rsidRPr="00023F1B">
                                  <w:rPr>
                                    <w:rStyle w:val="-"/>
                                    <w:u w:val="none"/>
                                    <w:lang w:val="en-US"/>
                                  </w:rPr>
                                  <w:t>www</w:t>
                                </w:r>
                                <w:r w:rsidRPr="005476AC">
                                  <w:rPr>
                                    <w:rStyle w:val="-"/>
                                    <w:u w:val="none"/>
                                  </w:rPr>
                                  <w:t>.</w:t>
                                </w:r>
                                <w:r w:rsidRPr="00023F1B">
                                  <w:rPr>
                                    <w:rStyle w:val="-"/>
                                    <w:u w:val="none"/>
                                    <w:lang w:val="en-US"/>
                                  </w:rPr>
                                  <w:t>specialeducation</w:t>
                                </w:r>
                                <w:r w:rsidRPr="005476AC">
                                  <w:rPr>
                                    <w:rStyle w:val="-"/>
                                    <w:u w:val="none"/>
                                  </w:rPr>
                                  <w:t>.</w:t>
                                </w:r>
                                <w:r w:rsidRPr="00023F1B">
                                  <w:rPr>
                                    <w:rStyle w:val="-"/>
                                    <w:u w:val="none"/>
                                    <w:lang w:val="en-US"/>
                                  </w:rPr>
                                  <w:t>gr</w:t>
                                </w:r>
                              </w:hyperlink>
                              <w:r w:rsidRPr="005476A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8274E" w:rsidRPr="00D77DF9" w:rsidRDefault="0088274E" w:rsidP="00BE7DDC">
                              <w:pPr>
                                <w:pStyle w:val="a3"/>
                              </w:pPr>
                            </w:p>
                          </w:tc>
                        </w:tr>
                        <w:tr w:rsidR="0088274E" w:rsidRPr="002F2736" w:rsidTr="0084590F">
                          <w:trPr>
                            <w:trHeight w:val="433"/>
                          </w:trPr>
                          <w:tc>
                            <w:tcPr>
                              <w:tcW w:w="4064" w:type="dxa"/>
                            </w:tcPr>
                            <w:p w:rsidR="0088274E" w:rsidRPr="002F2736" w:rsidRDefault="0088274E" w:rsidP="00BE7DDC"/>
                          </w:tc>
                        </w:tr>
                        <w:tr w:rsidR="0088274E" w:rsidRPr="002F2736" w:rsidTr="0084590F">
                          <w:trPr>
                            <w:trHeight w:val="345"/>
                          </w:trPr>
                          <w:tc>
                            <w:tcPr>
                              <w:tcW w:w="4064" w:type="dxa"/>
                            </w:tcPr>
                            <w:p w:rsidR="0088274E" w:rsidRPr="002F2736" w:rsidRDefault="0088274E" w:rsidP="00BE7DDC"/>
                          </w:tc>
                        </w:tr>
                        <w:tr w:rsidR="0088274E" w:rsidRPr="00B5219A" w:rsidTr="0084590F">
                          <w:trPr>
                            <w:trHeight w:val="354"/>
                          </w:trPr>
                          <w:tc>
                            <w:tcPr>
                              <w:tcW w:w="4064" w:type="dxa"/>
                            </w:tcPr>
                            <w:p w:rsidR="0088274E" w:rsidRPr="00B5219A" w:rsidRDefault="0088274E" w:rsidP="00BE7DDC"/>
                          </w:tc>
                        </w:tr>
                      </w:tbl>
                      <w:p w:rsidR="0088274E" w:rsidRDefault="0088274E" w:rsidP="0088274E"/>
                    </w:txbxContent>
                  </v:textbox>
                </v:shape>
              </w:pict>
            </w:r>
          </w:p>
        </w:tc>
        <w:tc>
          <w:tcPr>
            <w:tcW w:w="2160" w:type="dxa"/>
          </w:tcPr>
          <w:p w:rsidR="0088274E" w:rsidRPr="00D77DF9" w:rsidRDefault="00230A5F" w:rsidP="002F0728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18236</wp:posOffset>
                  </wp:positionH>
                  <wp:positionV relativeFrom="paragraph">
                    <wp:posOffset>-564815</wp:posOffset>
                  </wp:positionV>
                  <wp:extent cx="800459" cy="802257"/>
                  <wp:effectExtent l="19050" t="0" r="0" b="0"/>
                  <wp:wrapNone/>
                  <wp:docPr id="7" name="Εικόνα 7" descr="stamp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mp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59" cy="80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613E">
              <w:rPr>
                <w:noProof/>
                <w:lang w:eastAsia="el-GR"/>
              </w:rPr>
              <w:pict>
                <v:shape id="_x0000_s1032" type="#_x0000_t202" style="position:absolute;left:0;text-align:left;margin-left:96.15pt;margin-top:13.25pt;width:191.85pt;height:47.55pt;z-index:251662336;mso-position-horizontal-relative:text;mso-position-vertical-relative:text" stroked="f">
                  <v:textbox>
                    <w:txbxContent>
                      <w:p w:rsidR="0088274E" w:rsidRDefault="0088274E" w:rsidP="0088274E">
                        <w:r>
                          <w:t>Θεσσαλονίκη     5/4/2013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6" w:type="dxa"/>
          </w:tcPr>
          <w:p w:rsidR="0088274E" w:rsidRPr="00D77DF9" w:rsidRDefault="0088274E" w:rsidP="002F0728">
            <w:pPr>
              <w:jc w:val="center"/>
            </w:pPr>
          </w:p>
          <w:p w:rsidR="0088274E" w:rsidRPr="00AE3873" w:rsidRDefault="0088274E" w:rsidP="002F0728">
            <w:pPr>
              <w:ind w:right="360"/>
              <w:jc w:val="right"/>
            </w:pPr>
          </w:p>
        </w:tc>
      </w:tr>
      <w:tr w:rsidR="0088274E" w:rsidRPr="00D77DF9" w:rsidTr="002F0728">
        <w:trPr>
          <w:trHeight w:val="433"/>
        </w:trPr>
        <w:tc>
          <w:tcPr>
            <w:tcW w:w="4064" w:type="dxa"/>
          </w:tcPr>
          <w:p w:rsidR="0088274E" w:rsidRPr="002F2736" w:rsidRDefault="0088274E" w:rsidP="002F0728"/>
        </w:tc>
        <w:tc>
          <w:tcPr>
            <w:tcW w:w="2160" w:type="dxa"/>
          </w:tcPr>
          <w:p w:rsidR="0088274E" w:rsidRPr="00D77DF9" w:rsidRDefault="0088274E" w:rsidP="002F0728"/>
        </w:tc>
        <w:tc>
          <w:tcPr>
            <w:tcW w:w="3806" w:type="dxa"/>
          </w:tcPr>
          <w:p w:rsidR="0088274E" w:rsidRPr="004B7897" w:rsidRDefault="0088274E" w:rsidP="002F0728">
            <w:pPr>
              <w:rPr>
                <w:lang w:val="en-US"/>
              </w:rPr>
            </w:pPr>
          </w:p>
        </w:tc>
      </w:tr>
      <w:tr w:rsidR="0088274E" w:rsidRPr="00D77DF9" w:rsidTr="002F0728">
        <w:trPr>
          <w:trHeight w:val="345"/>
        </w:trPr>
        <w:tc>
          <w:tcPr>
            <w:tcW w:w="4064" w:type="dxa"/>
          </w:tcPr>
          <w:p w:rsidR="0088274E" w:rsidRPr="002F2736" w:rsidRDefault="0088274E" w:rsidP="002F0728"/>
        </w:tc>
        <w:tc>
          <w:tcPr>
            <w:tcW w:w="2160" w:type="dxa"/>
          </w:tcPr>
          <w:p w:rsidR="0088274E" w:rsidRPr="00D77DF9" w:rsidRDefault="0088274E" w:rsidP="002F0728"/>
        </w:tc>
        <w:tc>
          <w:tcPr>
            <w:tcW w:w="3806" w:type="dxa"/>
          </w:tcPr>
          <w:p w:rsidR="0088274E" w:rsidRPr="00E17999" w:rsidRDefault="0088274E" w:rsidP="002F0728">
            <w:pPr>
              <w:ind w:left="72"/>
            </w:pPr>
          </w:p>
        </w:tc>
      </w:tr>
      <w:tr w:rsidR="0088274E" w:rsidRPr="00B5219A" w:rsidTr="002F0728">
        <w:trPr>
          <w:trHeight w:val="354"/>
        </w:trPr>
        <w:tc>
          <w:tcPr>
            <w:tcW w:w="4064" w:type="dxa"/>
          </w:tcPr>
          <w:p w:rsidR="0088274E" w:rsidRPr="00B5219A" w:rsidRDefault="0088274E" w:rsidP="002F0728"/>
        </w:tc>
        <w:tc>
          <w:tcPr>
            <w:tcW w:w="2160" w:type="dxa"/>
          </w:tcPr>
          <w:p w:rsidR="0088274E" w:rsidRPr="00B5219A" w:rsidRDefault="0088274E" w:rsidP="002F0728"/>
        </w:tc>
        <w:tc>
          <w:tcPr>
            <w:tcW w:w="3806" w:type="dxa"/>
          </w:tcPr>
          <w:p w:rsidR="0088274E" w:rsidRPr="00B5219A" w:rsidRDefault="0088274E" w:rsidP="002F0728">
            <w:pPr>
              <w:jc w:val="both"/>
            </w:pPr>
            <w:r>
              <w:t xml:space="preserve"> </w:t>
            </w:r>
          </w:p>
        </w:tc>
      </w:tr>
    </w:tbl>
    <w:p w:rsidR="0088274E" w:rsidRPr="00B5219A" w:rsidRDefault="0088274E" w:rsidP="0088274E"/>
    <w:p w:rsidR="0088274E" w:rsidRDefault="0088274E" w:rsidP="0088274E"/>
    <w:p w:rsidR="00296277" w:rsidRDefault="00296277" w:rsidP="00E17999"/>
    <w:p w:rsidR="00296277" w:rsidRPr="00296277" w:rsidRDefault="00296277" w:rsidP="00296277">
      <w:pPr>
        <w:jc w:val="center"/>
      </w:pPr>
      <w:r>
        <w:t>ΔΕΛΤΙΟ ΤΥΠΟΥ</w:t>
      </w:r>
    </w:p>
    <w:p w:rsidR="00D93708" w:rsidRDefault="00D93708" w:rsidP="00023598">
      <w:pPr>
        <w:rPr>
          <w:sz w:val="25"/>
          <w:u w:val="single"/>
        </w:rPr>
      </w:pPr>
    </w:p>
    <w:p w:rsidR="00D9548E" w:rsidRDefault="00D9548E" w:rsidP="00023598">
      <w:pPr>
        <w:rPr>
          <w:sz w:val="25"/>
          <w:u w:val="single"/>
        </w:rPr>
      </w:pPr>
    </w:p>
    <w:p w:rsidR="000213D4" w:rsidRDefault="000213D4" w:rsidP="000213D4">
      <w:pPr>
        <w:jc w:val="center"/>
        <w:rPr>
          <w:sz w:val="25"/>
        </w:rPr>
      </w:pPr>
      <w:r w:rsidRPr="000213D4">
        <w:rPr>
          <w:sz w:val="25"/>
        </w:rPr>
        <w:t>ΑΠΡΙΛΗΣ Τ</w:t>
      </w:r>
      <w:r w:rsidR="007F1639">
        <w:rPr>
          <w:sz w:val="25"/>
        </w:rPr>
        <w:t>ΗΣ</w:t>
      </w:r>
      <w:r w:rsidRPr="000213D4">
        <w:rPr>
          <w:sz w:val="25"/>
        </w:rPr>
        <w:t xml:space="preserve"> ΕΙΔΙΚΗΣ ΑΓΩΓΗΣ ΚΑΙ ΕΚΠΑΙΔΕΥΣΗΣ</w:t>
      </w:r>
    </w:p>
    <w:p w:rsidR="007F1639" w:rsidRPr="000213D4" w:rsidRDefault="007F1639" w:rsidP="000213D4">
      <w:pPr>
        <w:jc w:val="center"/>
        <w:rPr>
          <w:sz w:val="25"/>
        </w:rPr>
      </w:pPr>
    </w:p>
    <w:p w:rsidR="000213D4" w:rsidRDefault="000213D4" w:rsidP="00023598">
      <w:pPr>
        <w:rPr>
          <w:sz w:val="25"/>
          <w:u w:val="single"/>
        </w:rPr>
      </w:pPr>
    </w:p>
    <w:p w:rsidR="00D9548E" w:rsidRDefault="001F5DFC" w:rsidP="00D320D3">
      <w:pPr>
        <w:jc w:val="both"/>
        <w:rPr>
          <w:sz w:val="25"/>
        </w:rPr>
      </w:pPr>
      <w:r>
        <w:rPr>
          <w:sz w:val="25"/>
        </w:rPr>
        <w:t xml:space="preserve">Η Πανελλήνια Ένωση Ειδικών Παιδαγωγών </w:t>
      </w:r>
      <w:r w:rsidR="00D320D3">
        <w:rPr>
          <w:sz w:val="25"/>
        </w:rPr>
        <w:t xml:space="preserve">(Π.Ε.Ε.Π.) χαιρετίζει την ανακήρυξη  από  τη </w:t>
      </w:r>
      <w:r w:rsidR="002E02A5">
        <w:rPr>
          <w:sz w:val="25"/>
        </w:rPr>
        <w:t>Διδασκαλική Ομοσπονδία Ελλάδας (</w:t>
      </w:r>
      <w:r w:rsidR="00D320D3">
        <w:rPr>
          <w:sz w:val="25"/>
        </w:rPr>
        <w:t>ΔΟΕ</w:t>
      </w:r>
      <w:r w:rsidR="002E02A5">
        <w:rPr>
          <w:sz w:val="25"/>
        </w:rPr>
        <w:t>)</w:t>
      </w:r>
      <w:r w:rsidR="00D320D3">
        <w:rPr>
          <w:sz w:val="25"/>
        </w:rPr>
        <w:t xml:space="preserve"> του Απρίλη 2013 ως μήνα της ειδικής αγωγής</w:t>
      </w:r>
      <w:r w:rsidR="00F71736" w:rsidRPr="00F71736">
        <w:rPr>
          <w:sz w:val="25"/>
        </w:rPr>
        <w:t xml:space="preserve"> </w:t>
      </w:r>
      <w:r w:rsidR="00F71736">
        <w:rPr>
          <w:sz w:val="25"/>
        </w:rPr>
        <w:t>και εκπαίδευσης</w:t>
      </w:r>
      <w:r w:rsidR="00D320D3">
        <w:rPr>
          <w:sz w:val="25"/>
        </w:rPr>
        <w:t>. Είναι η π</w:t>
      </w:r>
      <w:r w:rsidR="00926674">
        <w:rPr>
          <w:sz w:val="25"/>
        </w:rPr>
        <w:t xml:space="preserve">ρώτη φορά που έχουμε μια τέτοιας έκτασης </w:t>
      </w:r>
      <w:r w:rsidR="00D320D3">
        <w:rPr>
          <w:sz w:val="25"/>
        </w:rPr>
        <w:t xml:space="preserve">κινητοποίηση για την </w:t>
      </w:r>
      <w:r w:rsidR="00947F6B">
        <w:rPr>
          <w:sz w:val="25"/>
        </w:rPr>
        <w:t>ειδική αγωγή</w:t>
      </w:r>
      <w:r w:rsidR="00D320D3">
        <w:rPr>
          <w:sz w:val="25"/>
        </w:rPr>
        <w:t xml:space="preserve"> με συμμετοχή όχι μόνο των φορέων της ειδικής αγωγής, αλλά </w:t>
      </w:r>
      <w:r w:rsidR="00947F6B">
        <w:rPr>
          <w:sz w:val="25"/>
        </w:rPr>
        <w:t xml:space="preserve">και </w:t>
      </w:r>
      <w:r w:rsidR="00D320D3">
        <w:rPr>
          <w:sz w:val="25"/>
        </w:rPr>
        <w:t>ολόκληρης της εκπαιδευτικής κοινότητας. Είναι μια κίνηση σημαντική και αναγκαία μπροστά στα μεγάλα προβλήματα και την ακόμα μεγαλύτερη αβεβαιότητα για το μέλλον που αντιμετωπίζει ο χώρος της ειδικής αγωγής</w:t>
      </w:r>
      <w:r w:rsidR="006B7539">
        <w:rPr>
          <w:sz w:val="25"/>
        </w:rPr>
        <w:t xml:space="preserve"> και εκπαίδευσης</w:t>
      </w:r>
      <w:r w:rsidR="00D320D3">
        <w:rPr>
          <w:sz w:val="25"/>
        </w:rPr>
        <w:t xml:space="preserve">. </w:t>
      </w:r>
    </w:p>
    <w:p w:rsidR="00D320D3" w:rsidRPr="001F5DFC" w:rsidRDefault="00D320D3" w:rsidP="00A515CF">
      <w:pPr>
        <w:spacing w:before="120"/>
        <w:jc w:val="both"/>
        <w:rPr>
          <w:sz w:val="25"/>
        </w:rPr>
      </w:pPr>
      <w:r>
        <w:rPr>
          <w:sz w:val="25"/>
        </w:rPr>
        <w:t xml:space="preserve">Η  Π.Ε.Ε.Π. καλεί τα μέλη της, </w:t>
      </w:r>
      <w:r w:rsidR="00765461">
        <w:rPr>
          <w:sz w:val="25"/>
        </w:rPr>
        <w:t>καθώς</w:t>
      </w:r>
      <w:r w:rsidR="00947F6B" w:rsidRPr="00947F6B">
        <w:rPr>
          <w:sz w:val="25"/>
        </w:rPr>
        <w:t xml:space="preserve"> </w:t>
      </w:r>
      <w:r w:rsidR="00947F6B">
        <w:rPr>
          <w:sz w:val="25"/>
        </w:rPr>
        <w:t>και</w:t>
      </w:r>
      <w:r w:rsidR="00765461">
        <w:rPr>
          <w:sz w:val="25"/>
        </w:rPr>
        <w:t xml:space="preserve"> </w:t>
      </w:r>
      <w:r>
        <w:rPr>
          <w:sz w:val="25"/>
        </w:rPr>
        <w:t xml:space="preserve">τους γονείς των παιδιών με </w:t>
      </w:r>
      <w:r w:rsidR="001B7395" w:rsidRPr="001B7395">
        <w:rPr>
          <w:sz w:val="25"/>
        </w:rPr>
        <w:t xml:space="preserve">ειδικές εκπαιδευτικές ανάγκες </w:t>
      </w:r>
      <w:r>
        <w:rPr>
          <w:sz w:val="25"/>
        </w:rPr>
        <w:t xml:space="preserve">και </w:t>
      </w:r>
      <w:r w:rsidR="00776CEA">
        <w:rPr>
          <w:sz w:val="25"/>
        </w:rPr>
        <w:t xml:space="preserve">τους </w:t>
      </w:r>
      <w:r>
        <w:rPr>
          <w:sz w:val="25"/>
        </w:rPr>
        <w:t>εκπαιδευτικούς ειδικής και γενικής αγωγής να συμμετέχουν στο συλλαλητήριο μπροστά στο Υπουργείο Παιδείας</w:t>
      </w:r>
      <w:r w:rsidR="00947F6B">
        <w:rPr>
          <w:sz w:val="25"/>
        </w:rPr>
        <w:t>,</w:t>
      </w:r>
      <w:r>
        <w:rPr>
          <w:sz w:val="25"/>
        </w:rPr>
        <w:t xml:space="preserve"> την Παρασκευή 19 Απρίλη</w:t>
      </w:r>
      <w:r w:rsidR="00C36821">
        <w:rPr>
          <w:sz w:val="25"/>
        </w:rPr>
        <w:t xml:space="preserve"> ώρα 13:00,</w:t>
      </w:r>
      <w:r>
        <w:rPr>
          <w:sz w:val="25"/>
        </w:rPr>
        <w:t xml:space="preserve"> καθώς και σε κάθε άλλη εκδήλωση που θα προγραμματιστεί. </w:t>
      </w:r>
      <w:r w:rsidR="00765461">
        <w:rPr>
          <w:sz w:val="25"/>
        </w:rPr>
        <w:t xml:space="preserve">Καλεί την αρμόδια πολιτική ηγεσία να ακούσει τα προβλήματα της ειδικής αγωγής </w:t>
      </w:r>
      <w:r w:rsidR="006B7539">
        <w:rPr>
          <w:sz w:val="25"/>
        </w:rPr>
        <w:t xml:space="preserve">και εκπαίδευσης </w:t>
      </w:r>
      <w:r w:rsidR="00765461">
        <w:rPr>
          <w:sz w:val="25"/>
        </w:rPr>
        <w:t xml:space="preserve">και να δώσει άμεσες λύσεις. </w:t>
      </w:r>
      <w:r w:rsidR="00765461" w:rsidRPr="001B7395">
        <w:rPr>
          <w:sz w:val="25"/>
          <w:u w:val="single"/>
        </w:rPr>
        <w:t>Ζητ</w:t>
      </w:r>
      <w:r w:rsidR="005476AC" w:rsidRPr="001B7395">
        <w:rPr>
          <w:sz w:val="25"/>
          <w:u w:val="single"/>
        </w:rPr>
        <w:t>ά</w:t>
      </w:r>
      <w:r w:rsidR="00765461" w:rsidRPr="001B7395">
        <w:rPr>
          <w:sz w:val="25"/>
          <w:u w:val="single"/>
        </w:rPr>
        <w:t>με</w:t>
      </w:r>
      <w:r w:rsidR="00765461">
        <w:rPr>
          <w:sz w:val="25"/>
        </w:rPr>
        <w:t xml:space="preserve">: </w:t>
      </w:r>
    </w:p>
    <w:p w:rsidR="0033027A" w:rsidRDefault="0033027A" w:rsidP="00A515CF">
      <w:pPr>
        <w:spacing w:before="120"/>
      </w:pPr>
    </w:p>
    <w:p w:rsidR="000F55EE" w:rsidRDefault="00765461" w:rsidP="00137045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</w:pPr>
      <w:r>
        <w:t>Την ε</w:t>
      </w:r>
      <w:r w:rsidR="000F55EE">
        <w:t xml:space="preserve">ξασφάλιση όλων των αναγκαίων προϋποθέσεων για την ομαλή λειτουργία όλων των δομών της Ε.Α.Ε. Στελέχωση με το αναγκαίο </w:t>
      </w:r>
      <w:r w:rsidR="007C7CAE">
        <w:t>προσωπικό (εκπαιδευτικό, ειδικό</w:t>
      </w:r>
      <w:r w:rsidR="000F55EE">
        <w:t xml:space="preserve"> εκπαιδευτικό</w:t>
      </w:r>
      <w:r w:rsidR="007C7CAE">
        <w:t xml:space="preserve"> και</w:t>
      </w:r>
      <w:r w:rsidR="000F55EE">
        <w:t xml:space="preserve"> </w:t>
      </w:r>
      <w:r w:rsidR="00D320D3">
        <w:t xml:space="preserve">ειδικό </w:t>
      </w:r>
      <w:r w:rsidR="000F55EE">
        <w:t xml:space="preserve">βοηθητικό). Το προσωπικό των δομών της ειδικής αγωγής (ειδικά σχολεία, τμήματα ένταξης, παράλληλη στήριξη, ΚΕ.Δ.Δ.Υ.) θα πρέπει να βρίσκεται στη θέση του το πρώτο δεκαήμερο του Σεπτέμβρη έτσι ώστε να ξεκινά ομαλά η λειτουργία των σχολείων.  </w:t>
      </w:r>
      <w:r w:rsidR="007F1B06">
        <w:t xml:space="preserve">Εξασφάλιση της </w:t>
      </w:r>
      <w:r w:rsidR="00926674">
        <w:t>μεταφοράς</w:t>
      </w:r>
      <w:r w:rsidR="007F1B06">
        <w:t xml:space="preserve"> </w:t>
      </w:r>
      <w:r w:rsidR="000F55EE">
        <w:t xml:space="preserve"> </w:t>
      </w:r>
      <w:r w:rsidR="007F1B06">
        <w:t xml:space="preserve">των μαθητών με ειδικές εκπαιδευτικές ανάγκες. </w:t>
      </w:r>
    </w:p>
    <w:p w:rsidR="007F1B06" w:rsidRDefault="00765461" w:rsidP="00137045">
      <w:pPr>
        <w:pStyle w:val="a6"/>
        <w:numPr>
          <w:ilvl w:val="0"/>
          <w:numId w:val="3"/>
        </w:numPr>
        <w:spacing w:before="120"/>
        <w:contextualSpacing w:val="0"/>
        <w:jc w:val="both"/>
      </w:pPr>
      <w:r>
        <w:t>Τ</w:t>
      </w:r>
      <w:r w:rsidR="007F1B06">
        <w:t xml:space="preserve">η στελέχωση των δομών της Ε.Α.Ε. με </w:t>
      </w:r>
      <w:r w:rsidR="007F1B06" w:rsidRPr="00C81144">
        <w:t>ειδικευμένου</w:t>
      </w:r>
      <w:r w:rsidR="007F1B06">
        <w:t>ς</w:t>
      </w:r>
      <w:r w:rsidR="007F1B06" w:rsidRPr="00C81144">
        <w:t xml:space="preserve"> εκπαιδευτικού</w:t>
      </w:r>
      <w:r w:rsidR="007F1B06">
        <w:t>ς</w:t>
      </w:r>
      <w:r w:rsidR="007F1B06" w:rsidRPr="00C81144">
        <w:t xml:space="preserve"> ειδικής αγωγής, με βασικές σπουδές </w:t>
      </w:r>
      <w:r w:rsidR="007F1B06">
        <w:t xml:space="preserve">ή </w:t>
      </w:r>
      <w:r w:rsidR="007F1B06" w:rsidRPr="00C81144">
        <w:t>μεταπτυχιακές σπουδές ή διετή με</w:t>
      </w:r>
      <w:r w:rsidR="007F1B06">
        <w:t>τεκπαίδευση στην ειδική αγωγή</w:t>
      </w:r>
      <w:r w:rsidR="007F1B06" w:rsidRPr="00C81144">
        <w:t>.</w:t>
      </w:r>
      <w:r w:rsidR="007F1B06">
        <w:t xml:space="preserve"> Μέσα στο καλοκαίρι είναι απαραίτητο να γίνουν οι πρώτοι </w:t>
      </w:r>
      <w:r w:rsidR="00C07A5E">
        <w:t>500</w:t>
      </w:r>
      <w:r w:rsidR="007F1B06">
        <w:t xml:space="preserve"> </w:t>
      </w:r>
      <w:r w:rsidR="001B7395">
        <w:t xml:space="preserve">τουλάχιστον </w:t>
      </w:r>
      <w:r w:rsidR="007F1B06">
        <w:t xml:space="preserve">διορισμοί εκπαιδευτικών ειδικής αγωγής τόσο στην πρωτοβάθμια εκπαίδευση όσο και στη δευτεροβάθμια εκπαίδευση, μέσα από διαγωνισμό του ΑΣΕΠ </w:t>
      </w:r>
      <w:r w:rsidR="00C07A5E">
        <w:t>ή</w:t>
      </w:r>
      <w:r w:rsidR="007F1B06">
        <w:t xml:space="preserve"> με βάση την προϋπηρεσία τους. </w:t>
      </w:r>
      <w:r w:rsidR="007C7CAE">
        <w:t>Δε μπορεί να λειτουργούν οι ΣΜΕΑΕ με τις μισές οργανικές θέσεις να είναι κενές. Δεν είναι δυνατό η ειδική αγωγή να</w:t>
      </w:r>
      <w:r w:rsidR="00C07A5E">
        <w:t xml:space="preserve"> συνεχίσει να</w:t>
      </w:r>
      <w:r w:rsidR="007C7CAE">
        <w:t xml:space="preserve"> αντιμετωπίζεται ως ο φτωχός συγγενής του εκπαιδευτικού συστήματος, αλλά ως ένας τομέας πρώτης προτεραιότητας. </w:t>
      </w:r>
    </w:p>
    <w:p w:rsidR="00137045" w:rsidRDefault="00765461" w:rsidP="00926674">
      <w:pPr>
        <w:pStyle w:val="a6"/>
        <w:numPr>
          <w:ilvl w:val="0"/>
          <w:numId w:val="3"/>
        </w:numPr>
        <w:spacing w:before="120"/>
        <w:contextualSpacing w:val="0"/>
        <w:jc w:val="both"/>
      </w:pPr>
      <w:r>
        <w:t>Την ά</w:t>
      </w:r>
      <w:r w:rsidR="007F1B06">
        <w:t xml:space="preserve">μεση αλλαγή των κριτηρίων για την πρόσληψη αναπληρωτών ειδικής αγωγής. Η πρόσληψη να γίνεται με </w:t>
      </w:r>
      <w:proofErr w:type="spellStart"/>
      <w:r w:rsidR="007F1B06">
        <w:t>μοριοδότηση</w:t>
      </w:r>
      <w:proofErr w:type="spellEnd"/>
      <w:r w:rsidR="007F1B06">
        <w:t xml:space="preserve"> της προϋπηρεσίας και των </w:t>
      </w:r>
      <w:r w:rsidR="007F1B06">
        <w:lastRenderedPageBreak/>
        <w:t xml:space="preserve">πρόσθετων τίτλων σπουδών στην ειδική αγωγή. </w:t>
      </w:r>
      <w:r w:rsidR="00B258E4">
        <w:t xml:space="preserve">Η απόλυτη προτεραιότητα στους κατόχους μεταπτυχιακών σπουδών, ακόμα και στην περίπτωση των πτυχιούχων παιδαγωγικών τμημάτων για τους </w:t>
      </w:r>
      <w:r w:rsidR="00137045">
        <w:t xml:space="preserve">οποίους </w:t>
      </w:r>
      <w:r w:rsidR="00B258E4">
        <w:t>ο μεταπτυχιακός τίτλος στην Ε.Α.</w:t>
      </w:r>
      <w:r w:rsidR="00947F6B">
        <w:t>Ε.</w:t>
      </w:r>
      <w:r w:rsidR="00B258E4">
        <w:t xml:space="preserve"> δεν αποτελεί πρόσθετο τίτλο σπουδών, αλλά </w:t>
      </w:r>
      <w:r w:rsidR="00926674">
        <w:t>απαραίτητο</w:t>
      </w:r>
      <w:r w:rsidR="00B258E4">
        <w:t xml:space="preserve"> για την ένταξη τους στο</w:t>
      </w:r>
      <w:r w:rsidR="008C5AA0">
        <w:t>ν</w:t>
      </w:r>
      <w:r w:rsidR="00B258E4">
        <w:t xml:space="preserve"> πίνακα, έχει οδηγήσει σε σοβαρές στρεβλώσεις και άνθιση μιας βιομηχανίας </w:t>
      </w:r>
      <w:r w:rsidR="00947F6B">
        <w:t xml:space="preserve">μαζικής </w:t>
      </w:r>
      <w:r w:rsidR="00B258E4">
        <w:t>παραγωγής μεταπτυχιακών τίτλων σπουδών στην Ε.Α.</w:t>
      </w:r>
      <w:r w:rsidR="00947F6B">
        <w:t>Ε.</w:t>
      </w:r>
      <w:r w:rsidR="00B258E4">
        <w:t xml:space="preserve"> </w:t>
      </w:r>
      <w:r w:rsidR="00C00717">
        <w:t>Απαιτείται</w:t>
      </w:r>
      <w:r w:rsidR="00B258E4">
        <w:t xml:space="preserve"> άμεση παρέμβαση.</w:t>
      </w:r>
      <w:r w:rsidR="00137045" w:rsidRPr="00137045">
        <w:t xml:space="preserve"> </w:t>
      </w:r>
    </w:p>
    <w:p w:rsidR="00C00717" w:rsidRDefault="00C00717" w:rsidP="00926674">
      <w:pPr>
        <w:pStyle w:val="a6"/>
        <w:numPr>
          <w:ilvl w:val="0"/>
          <w:numId w:val="3"/>
        </w:numPr>
        <w:spacing w:before="120"/>
        <w:contextualSpacing w:val="0"/>
        <w:jc w:val="both"/>
      </w:pPr>
      <w:r>
        <w:t xml:space="preserve">Διασφάλιση </w:t>
      </w:r>
      <w:r w:rsidR="00AD70AA">
        <w:t xml:space="preserve">της </w:t>
      </w:r>
      <w:r>
        <w:t xml:space="preserve">διαφάνειας στις μεταθέσεις </w:t>
      </w:r>
      <w:r w:rsidR="00AD70AA">
        <w:t xml:space="preserve"> </w:t>
      </w:r>
      <w:r>
        <w:t xml:space="preserve">σε </w:t>
      </w:r>
      <w:r w:rsidR="00AD70AA">
        <w:t xml:space="preserve"> </w:t>
      </w:r>
      <w:r>
        <w:t>Σ.Μ.Ε.Α.Ε. και ΚΕ.Δ.Δ.Υ.</w:t>
      </w:r>
      <w:r w:rsidR="00AD70AA">
        <w:t xml:space="preserve"> </w:t>
      </w:r>
    </w:p>
    <w:p w:rsidR="00137045" w:rsidRDefault="00765461" w:rsidP="00137045">
      <w:pPr>
        <w:pStyle w:val="a6"/>
        <w:numPr>
          <w:ilvl w:val="0"/>
          <w:numId w:val="3"/>
        </w:numPr>
        <w:spacing w:before="120"/>
        <w:contextualSpacing w:val="0"/>
        <w:jc w:val="both"/>
      </w:pPr>
      <w:r>
        <w:t>Την ε</w:t>
      </w:r>
      <w:r w:rsidR="00137045">
        <w:t xml:space="preserve">παναλειτουργία και αναβάθμιση της διετούς μετεκπαίδευσης στην ειδική αγωγή και </w:t>
      </w:r>
      <w:r w:rsidR="00DB003B">
        <w:t xml:space="preserve">την </w:t>
      </w:r>
      <w:r w:rsidR="00137045">
        <w:t>επέκτασ</w:t>
      </w:r>
      <w:r w:rsidR="00947F6B">
        <w:t>ή</w:t>
      </w:r>
      <w:r w:rsidR="00137045">
        <w:t xml:space="preserve"> της </w:t>
      </w:r>
      <w:r w:rsidR="00DC00FF">
        <w:t>για τους εκπαιδευτικούς της</w:t>
      </w:r>
      <w:r w:rsidR="00137045">
        <w:t xml:space="preserve"> δευτεροβάθμια</w:t>
      </w:r>
      <w:r w:rsidR="00DC00FF">
        <w:t>ς</w:t>
      </w:r>
      <w:r w:rsidR="00137045">
        <w:t xml:space="preserve"> εκπαίδευση</w:t>
      </w:r>
      <w:r w:rsidR="00DC00FF">
        <w:t>ς</w:t>
      </w:r>
      <w:r w:rsidR="00137045">
        <w:t xml:space="preserve">. </w:t>
      </w:r>
    </w:p>
    <w:p w:rsidR="000F55EE" w:rsidRDefault="00765461" w:rsidP="00137045">
      <w:pPr>
        <w:pStyle w:val="a6"/>
        <w:numPr>
          <w:ilvl w:val="0"/>
          <w:numId w:val="3"/>
        </w:numPr>
        <w:spacing w:before="120"/>
        <w:ind w:left="714" w:hanging="357"/>
        <w:contextualSpacing w:val="0"/>
      </w:pPr>
      <w:r>
        <w:t>Την ε</w:t>
      </w:r>
      <w:r w:rsidR="000F55EE">
        <w:t xml:space="preserve">νίσχυση του επιτελικού ρόλου </w:t>
      </w:r>
      <w:r w:rsidR="00296277">
        <w:t xml:space="preserve"> της Διεύθυνσης Ειδικής Αγωγής</w:t>
      </w:r>
      <w:r w:rsidR="00947F6B">
        <w:t>.</w:t>
      </w:r>
      <w:r w:rsidR="00296277">
        <w:t xml:space="preserve"> </w:t>
      </w:r>
    </w:p>
    <w:p w:rsidR="00296277" w:rsidRDefault="00765461" w:rsidP="00836BE8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</w:pPr>
      <w:r>
        <w:t xml:space="preserve">Την </w:t>
      </w:r>
      <w:r w:rsidR="00A515CF">
        <w:t>α</w:t>
      </w:r>
      <w:r w:rsidR="000F55EE">
        <w:t xml:space="preserve">ναβάθμιση των ΚΕ.Δ.Δ.Υ.  και  </w:t>
      </w:r>
      <w:r w:rsidR="00836BE8">
        <w:t xml:space="preserve">την </w:t>
      </w:r>
      <w:r w:rsidR="000F55EE">
        <w:t>ενίσχυση του υποστηρικτικού τους ρόλου</w:t>
      </w:r>
      <w:r w:rsidR="00137045">
        <w:t>.</w:t>
      </w:r>
    </w:p>
    <w:p w:rsidR="000213D4" w:rsidRDefault="000213D4" w:rsidP="000213D4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</w:pPr>
      <w:r>
        <w:t>Ειδική μέριμνα ώστε να μην υπολειτουργήσουν οι  δομές Ε.Α.Ε. στις περιφέρειες (</w:t>
      </w:r>
      <w:r w:rsidRPr="000213D4">
        <w:t>Στερεά Ελλάδα και Νότιο Αιγαίο</w:t>
      </w:r>
      <w:r>
        <w:t>) που δεν εντάσσονται στο ΕΣΠΑ.</w:t>
      </w:r>
    </w:p>
    <w:p w:rsidR="00137045" w:rsidRDefault="00137045" w:rsidP="00137045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</w:pPr>
      <w:r>
        <w:t>Η επιμόρφωση των εκπαιδευτικών ειδικής αγωγής να γίνεται το πρώτο δεκαπενθήμερο του Σεπτέμβρη  ή τον Ιούνιο. Η επιμόρφωση των εκπαιδευτικών της παράλληλης στήριξης μέσα στον Απρίλιο, δυόμιση χρόνια μετά την έναρξη του συγκεκριμένου προγράμματος</w:t>
      </w:r>
      <w:r w:rsidR="008C5AA0">
        <w:t>,</w:t>
      </w:r>
      <w:r>
        <w:t xml:space="preserve"> αποτελεί  παράδειγμα προς αποφυγή και δεν πρέπει να επαναληφθεί. </w:t>
      </w:r>
    </w:p>
    <w:p w:rsidR="00765461" w:rsidRPr="00765461" w:rsidRDefault="00765461" w:rsidP="00137045">
      <w:pPr>
        <w:pStyle w:val="a6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765461">
        <w:t xml:space="preserve">Την έναρξη </w:t>
      </w:r>
      <w:r w:rsidR="00947F6B">
        <w:t xml:space="preserve">του </w:t>
      </w:r>
      <w:r w:rsidRPr="00765461">
        <w:t xml:space="preserve">διαλόγου </w:t>
      </w:r>
      <w:r w:rsidR="00947F6B">
        <w:t xml:space="preserve">που θα καταλήξει </w:t>
      </w:r>
      <w:r w:rsidR="00836BE8">
        <w:t>σ</w:t>
      </w:r>
      <w:r w:rsidRPr="00765461">
        <w:t>την ψήφιση ενός νέου νόμου για την Ε.Α.Ε. που θα ρυθμίζει συνολικά τα θέματα της ειδικής αγωγής, μετά από συστηματική μελέτη και ουσιαστικό διάλογο με τους εμπλεκόμενους φορείς.</w:t>
      </w:r>
    </w:p>
    <w:p w:rsidR="00A410BC" w:rsidRPr="00A410BC" w:rsidRDefault="00A410BC" w:rsidP="008211CD">
      <w:pPr>
        <w:autoSpaceDE w:val="0"/>
        <w:autoSpaceDN w:val="0"/>
        <w:adjustRightInd w:val="0"/>
        <w:spacing w:before="120"/>
        <w:ind w:firstLine="360"/>
        <w:jc w:val="both"/>
      </w:pPr>
    </w:p>
    <w:p w:rsidR="00E30618" w:rsidRDefault="00E30618" w:rsidP="00E65046">
      <w:pPr>
        <w:pStyle w:val="20"/>
        <w:spacing w:before="80" w:after="0"/>
        <w:jc w:val="center"/>
        <w:rPr>
          <w:sz w:val="24"/>
          <w:szCs w:val="24"/>
        </w:rPr>
      </w:pPr>
    </w:p>
    <w:p w:rsidR="00E30618" w:rsidRDefault="00E30618" w:rsidP="00E30618">
      <w:pPr>
        <w:pStyle w:val="20"/>
        <w:spacing w:after="0" w:line="240" w:lineRule="auto"/>
        <w:jc w:val="center"/>
        <w:rPr>
          <w:sz w:val="24"/>
          <w:szCs w:val="24"/>
        </w:rPr>
      </w:pPr>
    </w:p>
    <w:p w:rsidR="00E30618" w:rsidRDefault="00E30618" w:rsidP="00E30618">
      <w:pPr>
        <w:pStyle w:val="20"/>
        <w:spacing w:after="0" w:line="240" w:lineRule="auto"/>
        <w:rPr>
          <w:sz w:val="24"/>
          <w:szCs w:val="24"/>
        </w:rPr>
      </w:pPr>
      <w:r w:rsidRPr="009752D8">
        <w:rPr>
          <w:sz w:val="24"/>
          <w:szCs w:val="24"/>
        </w:rPr>
        <w:t xml:space="preserve">                                                     </w:t>
      </w:r>
      <w:r w:rsidRPr="00AC39F1">
        <w:rPr>
          <w:sz w:val="24"/>
          <w:szCs w:val="24"/>
        </w:rPr>
        <w:t>Για το Δ.Σ. της  Π.Ε.Ε.Π.</w:t>
      </w:r>
    </w:p>
    <w:p w:rsidR="00F8140D" w:rsidRDefault="00F8140D" w:rsidP="00E30618">
      <w:pPr>
        <w:pStyle w:val="20"/>
        <w:spacing w:after="0" w:line="240" w:lineRule="auto"/>
        <w:rPr>
          <w:sz w:val="24"/>
          <w:szCs w:val="24"/>
        </w:rPr>
      </w:pPr>
    </w:p>
    <w:p w:rsidR="00E30618" w:rsidRDefault="00E30618" w:rsidP="00E30618">
      <w:pPr>
        <w:pStyle w:val="20"/>
        <w:spacing w:after="0" w:line="240" w:lineRule="auto"/>
        <w:rPr>
          <w:sz w:val="24"/>
          <w:szCs w:val="24"/>
        </w:rPr>
      </w:pPr>
    </w:p>
    <w:p w:rsidR="00E30618" w:rsidRDefault="00E30618" w:rsidP="00E30618">
      <w:pPr>
        <w:pStyle w:val="20"/>
        <w:spacing w:after="0" w:line="240" w:lineRule="auto"/>
        <w:rPr>
          <w:sz w:val="24"/>
          <w:szCs w:val="24"/>
        </w:rPr>
      </w:pPr>
    </w:p>
    <w:p w:rsidR="00E30618" w:rsidRPr="00DB0995" w:rsidRDefault="00E30618" w:rsidP="00E30618">
      <w:pPr>
        <w:pStyle w:val="20"/>
        <w:spacing w:after="0" w:line="240" w:lineRule="auto"/>
        <w:rPr>
          <w:sz w:val="24"/>
          <w:szCs w:val="24"/>
        </w:rPr>
      </w:pPr>
      <w:r w:rsidRPr="00AC39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</w:t>
      </w:r>
      <w:r w:rsidRPr="00DB0995">
        <w:rPr>
          <w:sz w:val="24"/>
          <w:szCs w:val="24"/>
        </w:rPr>
        <w:t xml:space="preserve"> Ο  Πρόεδρος                                                      Η  Γενική Γραμματέας                                              </w:t>
      </w:r>
    </w:p>
    <w:p w:rsidR="00E30618" w:rsidRDefault="00E30618" w:rsidP="00E30618">
      <w:pPr>
        <w:pStyle w:val="20"/>
        <w:spacing w:after="0" w:line="240" w:lineRule="auto"/>
        <w:rPr>
          <w:sz w:val="24"/>
          <w:szCs w:val="24"/>
        </w:rPr>
      </w:pPr>
      <w:r w:rsidRPr="00DB0995">
        <w:rPr>
          <w:sz w:val="24"/>
          <w:szCs w:val="24"/>
        </w:rPr>
        <w:t xml:space="preserve">                  </w:t>
      </w:r>
    </w:p>
    <w:p w:rsidR="00E30618" w:rsidRDefault="00E30618" w:rsidP="00E30618">
      <w:pPr>
        <w:pStyle w:val="20"/>
        <w:spacing w:after="0" w:line="240" w:lineRule="auto"/>
        <w:rPr>
          <w:sz w:val="24"/>
          <w:szCs w:val="24"/>
        </w:rPr>
      </w:pPr>
    </w:p>
    <w:p w:rsidR="00E30618" w:rsidRDefault="00E30618" w:rsidP="00E30618">
      <w:pPr>
        <w:pStyle w:val="20"/>
        <w:spacing w:after="0" w:line="240" w:lineRule="auto"/>
        <w:rPr>
          <w:sz w:val="24"/>
          <w:szCs w:val="24"/>
        </w:rPr>
      </w:pPr>
    </w:p>
    <w:p w:rsidR="00E30618" w:rsidRPr="00DB0995" w:rsidRDefault="00E30618" w:rsidP="00E30618">
      <w:pPr>
        <w:pStyle w:val="2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B0995">
        <w:rPr>
          <w:sz w:val="24"/>
          <w:szCs w:val="24"/>
        </w:rPr>
        <w:t xml:space="preserve"> Δαρβούδης Αθανάσιος                                           </w:t>
      </w:r>
      <w:r>
        <w:rPr>
          <w:sz w:val="24"/>
          <w:szCs w:val="24"/>
        </w:rPr>
        <w:t xml:space="preserve">  </w:t>
      </w:r>
      <w:r w:rsidRPr="00DB0995">
        <w:rPr>
          <w:sz w:val="24"/>
          <w:szCs w:val="24"/>
        </w:rPr>
        <w:t xml:space="preserve"> </w:t>
      </w:r>
      <w:r w:rsidR="00CC2EFE">
        <w:rPr>
          <w:sz w:val="24"/>
          <w:szCs w:val="24"/>
        </w:rPr>
        <w:t xml:space="preserve"> </w:t>
      </w:r>
      <w:r w:rsidRPr="00DB0995">
        <w:rPr>
          <w:sz w:val="24"/>
          <w:szCs w:val="24"/>
        </w:rPr>
        <w:t xml:space="preserve"> Κουσουρέτα Νίκη           </w:t>
      </w:r>
      <w:r>
        <w:rPr>
          <w:sz w:val="24"/>
          <w:szCs w:val="24"/>
        </w:rPr>
        <w:t xml:space="preserve">                              </w:t>
      </w:r>
    </w:p>
    <w:p w:rsidR="00E17999" w:rsidRPr="00AC39F1" w:rsidRDefault="00E17999" w:rsidP="00E30618">
      <w:pPr>
        <w:pStyle w:val="20"/>
        <w:spacing w:before="80"/>
        <w:jc w:val="center"/>
        <w:rPr>
          <w:sz w:val="24"/>
          <w:szCs w:val="24"/>
        </w:rPr>
      </w:pPr>
    </w:p>
    <w:sectPr w:rsidR="00E17999" w:rsidRPr="00AC39F1" w:rsidSect="00230A5F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7A0"/>
    <w:multiLevelType w:val="hybridMultilevel"/>
    <w:tmpl w:val="0E041D2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760F6"/>
    <w:multiLevelType w:val="hybridMultilevel"/>
    <w:tmpl w:val="D1E8392E"/>
    <w:lvl w:ilvl="0" w:tplc="5F521F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B645D6"/>
    <w:multiLevelType w:val="hybridMultilevel"/>
    <w:tmpl w:val="C0868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C2F44"/>
    <w:rsid w:val="00005EF1"/>
    <w:rsid w:val="000111E8"/>
    <w:rsid w:val="000213D4"/>
    <w:rsid w:val="00023598"/>
    <w:rsid w:val="0002660D"/>
    <w:rsid w:val="00027274"/>
    <w:rsid w:val="00061653"/>
    <w:rsid w:val="00071CDB"/>
    <w:rsid w:val="000815DA"/>
    <w:rsid w:val="000844AD"/>
    <w:rsid w:val="0008562F"/>
    <w:rsid w:val="000903C0"/>
    <w:rsid w:val="000923C3"/>
    <w:rsid w:val="0009595A"/>
    <w:rsid w:val="000B2BBE"/>
    <w:rsid w:val="000B6003"/>
    <w:rsid w:val="000C5B07"/>
    <w:rsid w:val="000D0B5D"/>
    <w:rsid w:val="000D439B"/>
    <w:rsid w:val="000D462C"/>
    <w:rsid w:val="000D4710"/>
    <w:rsid w:val="000F5405"/>
    <w:rsid w:val="000F55EE"/>
    <w:rsid w:val="00122645"/>
    <w:rsid w:val="00134904"/>
    <w:rsid w:val="00137045"/>
    <w:rsid w:val="00156D32"/>
    <w:rsid w:val="001627CF"/>
    <w:rsid w:val="00176135"/>
    <w:rsid w:val="00176CE9"/>
    <w:rsid w:val="001A0086"/>
    <w:rsid w:val="001A00B4"/>
    <w:rsid w:val="001A61EA"/>
    <w:rsid w:val="001B7395"/>
    <w:rsid w:val="001C0023"/>
    <w:rsid w:val="001C457B"/>
    <w:rsid w:val="001F5A85"/>
    <w:rsid w:val="001F5DFC"/>
    <w:rsid w:val="001F6A55"/>
    <w:rsid w:val="002009A5"/>
    <w:rsid w:val="002070AD"/>
    <w:rsid w:val="00211400"/>
    <w:rsid w:val="00230A5F"/>
    <w:rsid w:val="00242EFA"/>
    <w:rsid w:val="002643D8"/>
    <w:rsid w:val="002652C9"/>
    <w:rsid w:val="002653FF"/>
    <w:rsid w:val="00284E69"/>
    <w:rsid w:val="00296277"/>
    <w:rsid w:val="002A09C3"/>
    <w:rsid w:val="002A4B4C"/>
    <w:rsid w:val="002A5FEC"/>
    <w:rsid w:val="002B2DB9"/>
    <w:rsid w:val="002C14D5"/>
    <w:rsid w:val="002C2AAC"/>
    <w:rsid w:val="002C3553"/>
    <w:rsid w:val="002C676E"/>
    <w:rsid w:val="002E02A5"/>
    <w:rsid w:val="002F2736"/>
    <w:rsid w:val="00303A4C"/>
    <w:rsid w:val="00304336"/>
    <w:rsid w:val="00305786"/>
    <w:rsid w:val="003157BE"/>
    <w:rsid w:val="0033027A"/>
    <w:rsid w:val="00331679"/>
    <w:rsid w:val="00335C32"/>
    <w:rsid w:val="003363DB"/>
    <w:rsid w:val="00340191"/>
    <w:rsid w:val="003476A7"/>
    <w:rsid w:val="00370437"/>
    <w:rsid w:val="0038475D"/>
    <w:rsid w:val="00395C69"/>
    <w:rsid w:val="003A62C8"/>
    <w:rsid w:val="003A6CD9"/>
    <w:rsid w:val="003B126F"/>
    <w:rsid w:val="003B2EB7"/>
    <w:rsid w:val="003B7281"/>
    <w:rsid w:val="003C3EB8"/>
    <w:rsid w:val="003C54D8"/>
    <w:rsid w:val="003C753A"/>
    <w:rsid w:val="003E5D48"/>
    <w:rsid w:val="003F2836"/>
    <w:rsid w:val="003F6ACE"/>
    <w:rsid w:val="00412A6F"/>
    <w:rsid w:val="004155D9"/>
    <w:rsid w:val="004301BD"/>
    <w:rsid w:val="00443DB7"/>
    <w:rsid w:val="004501FF"/>
    <w:rsid w:val="00455609"/>
    <w:rsid w:val="004560C4"/>
    <w:rsid w:val="0046741F"/>
    <w:rsid w:val="00473868"/>
    <w:rsid w:val="00480338"/>
    <w:rsid w:val="0048473E"/>
    <w:rsid w:val="004B2747"/>
    <w:rsid w:val="004B7897"/>
    <w:rsid w:val="004C082A"/>
    <w:rsid w:val="004C3742"/>
    <w:rsid w:val="004C57D4"/>
    <w:rsid w:val="004E3B85"/>
    <w:rsid w:val="004E68FF"/>
    <w:rsid w:val="004F3C8D"/>
    <w:rsid w:val="0051506C"/>
    <w:rsid w:val="005150A1"/>
    <w:rsid w:val="00536586"/>
    <w:rsid w:val="005476AC"/>
    <w:rsid w:val="00547767"/>
    <w:rsid w:val="005B0E5F"/>
    <w:rsid w:val="005D1925"/>
    <w:rsid w:val="005D7884"/>
    <w:rsid w:val="00607BBB"/>
    <w:rsid w:val="00645718"/>
    <w:rsid w:val="00651D10"/>
    <w:rsid w:val="00660FD9"/>
    <w:rsid w:val="006620C9"/>
    <w:rsid w:val="00664507"/>
    <w:rsid w:val="00682AEE"/>
    <w:rsid w:val="00683BAC"/>
    <w:rsid w:val="00691CE0"/>
    <w:rsid w:val="00693101"/>
    <w:rsid w:val="0069351F"/>
    <w:rsid w:val="00695960"/>
    <w:rsid w:val="006A0D34"/>
    <w:rsid w:val="006B4955"/>
    <w:rsid w:val="006B7539"/>
    <w:rsid w:val="006C7545"/>
    <w:rsid w:val="006F0542"/>
    <w:rsid w:val="00703508"/>
    <w:rsid w:val="00714465"/>
    <w:rsid w:val="007179C9"/>
    <w:rsid w:val="007451AD"/>
    <w:rsid w:val="007609CC"/>
    <w:rsid w:val="00762136"/>
    <w:rsid w:val="00765461"/>
    <w:rsid w:val="00776CEA"/>
    <w:rsid w:val="00781C37"/>
    <w:rsid w:val="00785BAF"/>
    <w:rsid w:val="0078650C"/>
    <w:rsid w:val="007B2B4B"/>
    <w:rsid w:val="007C7CAE"/>
    <w:rsid w:val="007D3B61"/>
    <w:rsid w:val="007E152F"/>
    <w:rsid w:val="007F1639"/>
    <w:rsid w:val="007F1B06"/>
    <w:rsid w:val="00812E88"/>
    <w:rsid w:val="008211CD"/>
    <w:rsid w:val="00832B4E"/>
    <w:rsid w:val="00836BE8"/>
    <w:rsid w:val="0084553F"/>
    <w:rsid w:val="0084590F"/>
    <w:rsid w:val="008513B5"/>
    <w:rsid w:val="00861FD4"/>
    <w:rsid w:val="00872C20"/>
    <w:rsid w:val="0088274E"/>
    <w:rsid w:val="00887888"/>
    <w:rsid w:val="008A1849"/>
    <w:rsid w:val="008B49BA"/>
    <w:rsid w:val="008C245C"/>
    <w:rsid w:val="008C5AA0"/>
    <w:rsid w:val="008D6EB8"/>
    <w:rsid w:val="008F4F89"/>
    <w:rsid w:val="00903AF5"/>
    <w:rsid w:val="00910F94"/>
    <w:rsid w:val="00914CE8"/>
    <w:rsid w:val="009256DF"/>
    <w:rsid w:val="00926674"/>
    <w:rsid w:val="00944998"/>
    <w:rsid w:val="00947F6B"/>
    <w:rsid w:val="00955DCA"/>
    <w:rsid w:val="00961E11"/>
    <w:rsid w:val="00977813"/>
    <w:rsid w:val="00994B00"/>
    <w:rsid w:val="00994C44"/>
    <w:rsid w:val="009B5F36"/>
    <w:rsid w:val="009C1FE6"/>
    <w:rsid w:val="009F5FEC"/>
    <w:rsid w:val="009F7D8E"/>
    <w:rsid w:val="00A22585"/>
    <w:rsid w:val="00A23215"/>
    <w:rsid w:val="00A26DDC"/>
    <w:rsid w:val="00A410BC"/>
    <w:rsid w:val="00A43699"/>
    <w:rsid w:val="00A515CF"/>
    <w:rsid w:val="00A5378B"/>
    <w:rsid w:val="00A62D62"/>
    <w:rsid w:val="00A64F53"/>
    <w:rsid w:val="00A67386"/>
    <w:rsid w:val="00A73575"/>
    <w:rsid w:val="00A838F9"/>
    <w:rsid w:val="00AB0492"/>
    <w:rsid w:val="00AB0D69"/>
    <w:rsid w:val="00AC1CCF"/>
    <w:rsid w:val="00AC2F44"/>
    <w:rsid w:val="00AC39F1"/>
    <w:rsid w:val="00AC53C1"/>
    <w:rsid w:val="00AD6448"/>
    <w:rsid w:val="00AD64C9"/>
    <w:rsid w:val="00AD70AA"/>
    <w:rsid w:val="00AE144D"/>
    <w:rsid w:val="00AE21F5"/>
    <w:rsid w:val="00AE3B75"/>
    <w:rsid w:val="00AE43E7"/>
    <w:rsid w:val="00AE7F93"/>
    <w:rsid w:val="00B0613E"/>
    <w:rsid w:val="00B258E4"/>
    <w:rsid w:val="00B54F7C"/>
    <w:rsid w:val="00B96B5E"/>
    <w:rsid w:val="00BA0D00"/>
    <w:rsid w:val="00BA2317"/>
    <w:rsid w:val="00BB0A2E"/>
    <w:rsid w:val="00BB219E"/>
    <w:rsid w:val="00BD541D"/>
    <w:rsid w:val="00BD56DD"/>
    <w:rsid w:val="00BD57F6"/>
    <w:rsid w:val="00BE0686"/>
    <w:rsid w:val="00BE0880"/>
    <w:rsid w:val="00BE5E8B"/>
    <w:rsid w:val="00C00717"/>
    <w:rsid w:val="00C07A5E"/>
    <w:rsid w:val="00C152A9"/>
    <w:rsid w:val="00C22D6F"/>
    <w:rsid w:val="00C2437A"/>
    <w:rsid w:val="00C36821"/>
    <w:rsid w:val="00C462FB"/>
    <w:rsid w:val="00C46708"/>
    <w:rsid w:val="00C65CF9"/>
    <w:rsid w:val="00C81751"/>
    <w:rsid w:val="00C873ED"/>
    <w:rsid w:val="00CA3767"/>
    <w:rsid w:val="00CA4F28"/>
    <w:rsid w:val="00CA5AF9"/>
    <w:rsid w:val="00CC25A6"/>
    <w:rsid w:val="00CC2858"/>
    <w:rsid w:val="00CC2EFE"/>
    <w:rsid w:val="00CC52DA"/>
    <w:rsid w:val="00CD5B0C"/>
    <w:rsid w:val="00CE0BF1"/>
    <w:rsid w:val="00CE4B01"/>
    <w:rsid w:val="00CE4B36"/>
    <w:rsid w:val="00CE5129"/>
    <w:rsid w:val="00D04FB9"/>
    <w:rsid w:val="00D07A03"/>
    <w:rsid w:val="00D320D3"/>
    <w:rsid w:val="00D3386A"/>
    <w:rsid w:val="00D34C1D"/>
    <w:rsid w:val="00D351FB"/>
    <w:rsid w:val="00D55DB7"/>
    <w:rsid w:val="00D6543C"/>
    <w:rsid w:val="00D751B5"/>
    <w:rsid w:val="00D75AEF"/>
    <w:rsid w:val="00D8001B"/>
    <w:rsid w:val="00D8337F"/>
    <w:rsid w:val="00D87E80"/>
    <w:rsid w:val="00D93708"/>
    <w:rsid w:val="00D9548E"/>
    <w:rsid w:val="00D97C2F"/>
    <w:rsid w:val="00DB003B"/>
    <w:rsid w:val="00DC00FF"/>
    <w:rsid w:val="00DE5174"/>
    <w:rsid w:val="00DF1D0A"/>
    <w:rsid w:val="00E17999"/>
    <w:rsid w:val="00E224D2"/>
    <w:rsid w:val="00E24121"/>
    <w:rsid w:val="00E30618"/>
    <w:rsid w:val="00E34EBD"/>
    <w:rsid w:val="00E369A9"/>
    <w:rsid w:val="00E532EA"/>
    <w:rsid w:val="00E63A8A"/>
    <w:rsid w:val="00E65046"/>
    <w:rsid w:val="00E67138"/>
    <w:rsid w:val="00EA674A"/>
    <w:rsid w:val="00EC5429"/>
    <w:rsid w:val="00ED045D"/>
    <w:rsid w:val="00ED5413"/>
    <w:rsid w:val="00ED7439"/>
    <w:rsid w:val="00EE2223"/>
    <w:rsid w:val="00EE5D90"/>
    <w:rsid w:val="00F03EE5"/>
    <w:rsid w:val="00F24959"/>
    <w:rsid w:val="00F32E38"/>
    <w:rsid w:val="00F335EA"/>
    <w:rsid w:val="00F339AC"/>
    <w:rsid w:val="00F4451D"/>
    <w:rsid w:val="00F448B3"/>
    <w:rsid w:val="00F46EC6"/>
    <w:rsid w:val="00F54A4F"/>
    <w:rsid w:val="00F71736"/>
    <w:rsid w:val="00F73269"/>
    <w:rsid w:val="00F8140D"/>
    <w:rsid w:val="00F84516"/>
    <w:rsid w:val="00FE2AF2"/>
    <w:rsid w:val="00FE5D19"/>
    <w:rsid w:val="00FF185B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1F"/>
    <w:rPr>
      <w:sz w:val="24"/>
      <w:szCs w:val="24"/>
      <w:lang w:eastAsia="zh-CN"/>
    </w:rPr>
  </w:style>
  <w:style w:type="paragraph" w:styleId="2">
    <w:name w:val="heading 2"/>
    <w:basedOn w:val="a"/>
    <w:next w:val="a"/>
    <w:autoRedefine/>
    <w:qFormat/>
    <w:rsid w:val="00F73269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999"/>
    <w:rPr>
      <w:rFonts w:eastAsia="Times New Roman"/>
      <w:sz w:val="22"/>
      <w:szCs w:val="20"/>
      <w:lang w:eastAsia="el-GR"/>
    </w:rPr>
  </w:style>
  <w:style w:type="paragraph" w:styleId="20">
    <w:name w:val="Body Text 2"/>
    <w:basedOn w:val="a"/>
    <w:rsid w:val="00E17999"/>
    <w:pPr>
      <w:spacing w:after="120" w:line="480" w:lineRule="auto"/>
    </w:pPr>
    <w:rPr>
      <w:rFonts w:eastAsia="Times New Roman"/>
      <w:sz w:val="26"/>
      <w:szCs w:val="20"/>
      <w:lang w:eastAsia="el-GR"/>
    </w:rPr>
  </w:style>
  <w:style w:type="character" w:styleId="-">
    <w:name w:val="Hyperlink"/>
    <w:basedOn w:val="a0"/>
    <w:rsid w:val="00ED045D"/>
    <w:rPr>
      <w:color w:val="0000FF"/>
      <w:u w:val="single"/>
    </w:rPr>
  </w:style>
  <w:style w:type="paragraph" w:styleId="a4">
    <w:name w:val="Balloon Text"/>
    <w:basedOn w:val="a"/>
    <w:semiHidden/>
    <w:rsid w:val="00CE4B0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"/>
    <w:uiPriority w:val="99"/>
    <w:semiHidden/>
    <w:unhideWhenUsed/>
    <w:rsid w:val="004C57D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uiPriority w:val="99"/>
    <w:semiHidden/>
    <w:rsid w:val="004C57D4"/>
    <w:rPr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023598"/>
    <w:pPr>
      <w:ind w:left="720"/>
      <w:contextualSpacing/>
    </w:pPr>
  </w:style>
  <w:style w:type="character" w:styleId="a7">
    <w:name w:val="Strong"/>
    <w:basedOn w:val="a0"/>
    <w:uiPriority w:val="22"/>
    <w:qFormat/>
    <w:rsid w:val="00BD5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education.gr" TargetMode="External"/><Relationship Id="rId5" Type="http://schemas.openxmlformats.org/officeDocument/2006/relationships/hyperlink" Target="mailto:unionpee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ΠΡΟΤΑΣΕΙΣ ΓΙΑ ΕΠΙΛΟΓΗ ΣΤΕΛΕΧΩΝ</vt:lpstr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ΠΡΟΤΑΣΕΙΣ ΓΙΑ ΕΠΙΛΟΓΗ ΣΤΕΛΕΧΩΝ</dc:title>
  <dc:creator>A</dc:creator>
  <cp:lastModifiedBy>Thanos</cp:lastModifiedBy>
  <cp:revision>31</cp:revision>
  <cp:lastPrinted>2013-04-04T15:28:00Z</cp:lastPrinted>
  <dcterms:created xsi:type="dcterms:W3CDTF">2013-04-03T17:13:00Z</dcterms:created>
  <dcterms:modified xsi:type="dcterms:W3CDTF">2013-04-04T18:09:00Z</dcterms:modified>
</cp:coreProperties>
</file>